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879B" w14:textId="77777777" w:rsidR="00527970" w:rsidRDefault="008C4A86" w:rsidP="00527970">
      <w:pPr>
        <w:pStyle w:val="Nadpis1"/>
        <w:jc w:val="center"/>
        <w:rPr>
          <w:rFonts w:eastAsia="Arial"/>
        </w:rPr>
      </w:pPr>
      <w:r>
        <w:rPr>
          <w:rFonts w:eastAsia="Arial"/>
        </w:rPr>
        <w:t xml:space="preserve">Pravidla soutěže </w:t>
      </w:r>
    </w:p>
    <w:p w14:paraId="00000001" w14:textId="180B46EC" w:rsidR="00125DD6" w:rsidRDefault="008C4A86" w:rsidP="00527970">
      <w:pPr>
        <w:pStyle w:val="Nadpis1"/>
        <w:jc w:val="center"/>
        <w:rPr>
          <w:rFonts w:eastAsia="Arial"/>
        </w:rPr>
      </w:pPr>
      <w:r>
        <w:rPr>
          <w:rFonts w:eastAsia="Arial"/>
        </w:rPr>
        <w:t>STAVBA ROKU OLOMOUCKÉHO KRAJE 2022</w:t>
      </w:r>
    </w:p>
    <w:p w14:paraId="00000002" w14:textId="77777777" w:rsidR="00125DD6" w:rsidRDefault="00125DD6">
      <w:pPr>
        <w:rPr>
          <w:rFonts w:eastAsia="Arial" w:cs="Arial"/>
        </w:rPr>
      </w:pPr>
    </w:p>
    <w:p w14:paraId="00000003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>Podmínky účasti</w:t>
      </w:r>
      <w:bookmarkStart w:id="0" w:name="_GoBack"/>
      <w:bookmarkEnd w:id="0"/>
    </w:p>
    <w:p w14:paraId="00000004" w14:textId="2074818E" w:rsidR="00125DD6" w:rsidRPr="00EC22AF" w:rsidRDefault="008C4A86" w:rsidP="00B651B0">
      <w:pPr>
        <w:pStyle w:val="Odstavecseseznamem"/>
        <w:numPr>
          <w:ilvl w:val="0"/>
          <w:numId w:val="6"/>
        </w:numPr>
        <w:jc w:val="both"/>
        <w:rPr>
          <w:rFonts w:eastAsia="Arial"/>
          <w:bCs/>
        </w:rPr>
      </w:pPr>
      <w:r w:rsidRPr="00F65DC8">
        <w:rPr>
          <w:rFonts w:eastAsia="Arial"/>
        </w:rPr>
        <w:t>Do soutěžní přehlídky se přijímají stavby v uvedených soutěžních kategoriích, které byly realizovány na území Olomouckého kraje a byly zkolaudovány nebo uvedeny do užívání dle Stavebního zákona č.183/2006 v době od 1.</w:t>
      </w:r>
      <w:r w:rsidR="00B651B0">
        <w:rPr>
          <w:rFonts w:eastAsia="Arial"/>
        </w:rPr>
        <w:t> </w:t>
      </w:r>
      <w:r w:rsidRPr="00F65DC8">
        <w:rPr>
          <w:rFonts w:eastAsia="Arial"/>
        </w:rPr>
        <w:t>1.</w:t>
      </w:r>
      <w:r w:rsidR="00B651B0">
        <w:rPr>
          <w:rFonts w:eastAsia="Arial"/>
        </w:rPr>
        <w:t> </w:t>
      </w:r>
      <w:r w:rsidRPr="00F65DC8">
        <w:rPr>
          <w:rFonts w:eastAsia="Arial"/>
        </w:rPr>
        <w:t>2021 do</w:t>
      </w:r>
      <w:r w:rsidR="00B651B0">
        <w:rPr>
          <w:rFonts w:eastAsia="Arial"/>
        </w:rPr>
        <w:t> </w:t>
      </w:r>
      <w:r w:rsidRPr="00F65DC8">
        <w:rPr>
          <w:rFonts w:eastAsia="Arial"/>
        </w:rPr>
        <w:t>31.</w:t>
      </w:r>
      <w:r w:rsidR="00B651B0">
        <w:rPr>
          <w:rFonts w:eastAsia="Arial"/>
        </w:rPr>
        <w:t> </w:t>
      </w:r>
      <w:r w:rsidRPr="00F65DC8">
        <w:rPr>
          <w:rFonts w:eastAsia="Arial"/>
        </w:rPr>
        <w:t>12.</w:t>
      </w:r>
      <w:r w:rsidR="00B651B0">
        <w:rPr>
          <w:rFonts w:eastAsia="Arial"/>
        </w:rPr>
        <w:t> </w:t>
      </w:r>
      <w:r w:rsidRPr="00F65DC8">
        <w:rPr>
          <w:rFonts w:eastAsia="Arial"/>
        </w:rPr>
        <w:t>2022</w:t>
      </w:r>
      <w:r w:rsidRPr="00EC22AF">
        <w:rPr>
          <w:rFonts w:eastAsia="Arial"/>
          <w:bCs/>
        </w:rPr>
        <w:t>.</w:t>
      </w:r>
    </w:p>
    <w:p w14:paraId="00000005" w14:textId="77777777" w:rsidR="00125DD6" w:rsidRPr="00F65DC8" w:rsidRDefault="008C4A86" w:rsidP="00B651B0">
      <w:pPr>
        <w:pStyle w:val="Odstavecseseznamem"/>
        <w:numPr>
          <w:ilvl w:val="0"/>
          <w:numId w:val="6"/>
        </w:numPr>
        <w:jc w:val="both"/>
        <w:rPr>
          <w:rFonts w:eastAsia="Arial"/>
        </w:rPr>
      </w:pPr>
      <w:r w:rsidRPr="00F65DC8">
        <w:rPr>
          <w:rFonts w:eastAsia="Arial"/>
        </w:rPr>
        <w:t xml:space="preserve">Soutěžní přehlídka je přístupná českým i zahraničním účastníkům. Účastníkem soutěžní přehlídky může být autor, investor, dodavatel, případně současný majitel stavby. </w:t>
      </w:r>
    </w:p>
    <w:p w14:paraId="00000006" w14:textId="77777777" w:rsidR="00125DD6" w:rsidRPr="00F65DC8" w:rsidRDefault="008C4A86" w:rsidP="00B651B0">
      <w:pPr>
        <w:pStyle w:val="Odstavecseseznamem"/>
        <w:numPr>
          <w:ilvl w:val="0"/>
          <w:numId w:val="6"/>
        </w:numPr>
        <w:jc w:val="both"/>
        <w:rPr>
          <w:rFonts w:eastAsia="Arial"/>
        </w:rPr>
      </w:pPr>
      <w:r w:rsidRPr="00F65DC8">
        <w:rPr>
          <w:rFonts w:eastAsia="Arial"/>
        </w:rPr>
        <w:t>Počet prací přihlášených účastníky do soutěžní přehlídky nebo do jednotlivých kategorií není omezen.</w:t>
      </w:r>
    </w:p>
    <w:p w14:paraId="00000007" w14:textId="77777777" w:rsidR="00125DD6" w:rsidRPr="00F65DC8" w:rsidRDefault="008C4A86" w:rsidP="00B651B0">
      <w:pPr>
        <w:pStyle w:val="Odstavecseseznamem"/>
        <w:numPr>
          <w:ilvl w:val="0"/>
          <w:numId w:val="6"/>
        </w:numPr>
        <w:jc w:val="both"/>
        <w:rPr>
          <w:rFonts w:eastAsia="Arial"/>
        </w:rPr>
      </w:pPr>
      <w:r w:rsidRPr="00F65DC8">
        <w:rPr>
          <w:rFonts w:eastAsia="Arial"/>
        </w:rPr>
        <w:t>Pokud přihlašovatelem není autor, musí být soutěžní návrh doložen jménem a souhlasem autora či autorů a vlastníka objektu. Přihlašovatel písemně prohlásí, že podáním přihlášky do soutěže neporušuje autorská práva či jiná práva třetích osob.</w:t>
      </w:r>
    </w:p>
    <w:p w14:paraId="00000009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>Soutěžní kategorie</w:t>
      </w:r>
    </w:p>
    <w:p w14:paraId="0000000A" w14:textId="42152A40" w:rsidR="00125DD6" w:rsidRPr="00F65DC8" w:rsidRDefault="008C4A86" w:rsidP="00F65DC8">
      <w:pPr>
        <w:pStyle w:val="Odstavecseseznamem"/>
        <w:numPr>
          <w:ilvl w:val="0"/>
          <w:numId w:val="8"/>
        </w:numPr>
        <w:rPr>
          <w:rFonts w:eastAsia="Arial"/>
        </w:rPr>
      </w:pPr>
      <w:r w:rsidRPr="00F65DC8">
        <w:rPr>
          <w:rFonts w:eastAsia="Arial"/>
        </w:rPr>
        <w:t>Stavby určené k bydlení a rekreaci</w:t>
      </w:r>
    </w:p>
    <w:p w14:paraId="0000000B" w14:textId="7B264A66" w:rsidR="00125DD6" w:rsidRPr="00F65DC8" w:rsidRDefault="008C4A86" w:rsidP="00F65DC8">
      <w:pPr>
        <w:pStyle w:val="Odstavecseseznamem"/>
        <w:numPr>
          <w:ilvl w:val="0"/>
          <w:numId w:val="8"/>
        </w:numPr>
        <w:rPr>
          <w:rFonts w:eastAsia="Arial"/>
        </w:rPr>
      </w:pPr>
      <w:r w:rsidRPr="00F65DC8">
        <w:rPr>
          <w:rFonts w:eastAsia="Arial"/>
        </w:rPr>
        <w:t>Stavby občanské vybavenosti a úpravy veřejných prostor</w:t>
      </w:r>
    </w:p>
    <w:p w14:paraId="0000000C" w14:textId="0D97CB22" w:rsidR="00125DD6" w:rsidRPr="00F65DC8" w:rsidRDefault="008C4A86" w:rsidP="00F65DC8">
      <w:pPr>
        <w:pStyle w:val="Odstavecseseznamem"/>
        <w:numPr>
          <w:ilvl w:val="0"/>
          <w:numId w:val="8"/>
        </w:numPr>
        <w:rPr>
          <w:rFonts w:eastAsia="Arial"/>
        </w:rPr>
      </w:pPr>
      <w:r w:rsidRPr="00F65DC8">
        <w:rPr>
          <w:rFonts w:eastAsia="Arial"/>
        </w:rPr>
        <w:t>Stavby dopravní, inženýrské a vodohospodářské</w:t>
      </w:r>
    </w:p>
    <w:p w14:paraId="0000000D" w14:textId="43966B67" w:rsidR="00125DD6" w:rsidRPr="00F65DC8" w:rsidRDefault="008C4A86" w:rsidP="00F65DC8">
      <w:pPr>
        <w:pStyle w:val="Odstavecseseznamem"/>
        <w:numPr>
          <w:ilvl w:val="0"/>
          <w:numId w:val="8"/>
        </w:numPr>
        <w:rPr>
          <w:rFonts w:eastAsia="Arial"/>
        </w:rPr>
      </w:pPr>
      <w:r w:rsidRPr="00F65DC8">
        <w:rPr>
          <w:rFonts w:eastAsia="Arial"/>
        </w:rPr>
        <w:t>Stavby technologické a pro průmysl</w:t>
      </w:r>
    </w:p>
    <w:p w14:paraId="0000000E" w14:textId="57A5F371" w:rsidR="00125DD6" w:rsidRPr="00F65DC8" w:rsidRDefault="008C4A86" w:rsidP="00F65DC8">
      <w:pPr>
        <w:pStyle w:val="Odstavecseseznamem"/>
        <w:numPr>
          <w:ilvl w:val="0"/>
          <w:numId w:val="8"/>
        </w:numPr>
        <w:rPr>
          <w:rFonts w:eastAsia="Arial"/>
        </w:rPr>
      </w:pPr>
      <w:r w:rsidRPr="00F65DC8">
        <w:rPr>
          <w:rFonts w:eastAsia="Arial"/>
        </w:rPr>
        <w:t>Rekonstrukce a obnova</w:t>
      </w:r>
    </w:p>
    <w:p w14:paraId="00000010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>Vyhlašovatelé soutěže a spolupracující instituce</w:t>
      </w:r>
    </w:p>
    <w:p w14:paraId="00000011" w14:textId="18DA940F" w:rsidR="00125DD6" w:rsidRPr="00B56EBE" w:rsidRDefault="008C4A86" w:rsidP="00E96B83">
      <w:pPr>
        <w:jc w:val="both"/>
        <w:rPr>
          <w:rFonts w:eastAsia="Arial" w:cs="Arial"/>
        </w:rPr>
      </w:pPr>
      <w:r>
        <w:rPr>
          <w:rFonts w:eastAsia="Arial"/>
        </w:rPr>
        <w:t xml:space="preserve">     Vyhlašovatelem soutěže je Olomoucký kraj ve spolupráci s Českou komorou autorizovaných inženýrů a techniků činných ve výstavbě</w:t>
      </w:r>
      <w:r w:rsidR="00B56EBE">
        <w:rPr>
          <w:rFonts w:eastAsia="Arial"/>
        </w:rPr>
        <w:t xml:space="preserve"> </w:t>
      </w:r>
      <w:r w:rsidR="00B56EBE" w:rsidRPr="00B56EBE">
        <w:rPr>
          <w:rFonts w:cs="Arial"/>
          <w:color w:val="000000"/>
          <w:shd w:val="clear" w:color="auto" w:fill="FFFFFF"/>
        </w:rPr>
        <w:t xml:space="preserve">a </w:t>
      </w:r>
      <w:r w:rsidR="00B56EBE" w:rsidRPr="00B56EBE">
        <w:rPr>
          <w:rFonts w:cs="Arial"/>
          <w:color w:val="000000"/>
          <w:shd w:val="clear" w:color="auto" w:fill="FFFFFF"/>
        </w:rPr>
        <w:t>Svazem podnikatelů ve stavebnictví</w:t>
      </w:r>
      <w:r w:rsidRPr="00B56EBE">
        <w:rPr>
          <w:rFonts w:eastAsia="Arial" w:cs="Arial"/>
        </w:rPr>
        <w:t>.</w:t>
      </w:r>
    </w:p>
    <w:p w14:paraId="00000013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>Požadovaná dokumentace</w:t>
      </w:r>
    </w:p>
    <w:p w14:paraId="00000014" w14:textId="77777777" w:rsidR="00125DD6" w:rsidRDefault="00125DD6"/>
    <w:p w14:paraId="00000015" w14:textId="77777777" w:rsidR="00125DD6" w:rsidRDefault="008C4A86">
      <w:pPr>
        <w:pStyle w:val="Nadpis3"/>
        <w:numPr>
          <w:ilvl w:val="0"/>
          <w:numId w:val="4"/>
        </w:numPr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Panely – budou dodány jen v elektronické podobě!</w:t>
      </w:r>
    </w:p>
    <w:p w14:paraId="00000016" w14:textId="77777777" w:rsidR="00125DD6" w:rsidRDefault="008C4A86" w:rsidP="00E96B83">
      <w:pPr>
        <w:jc w:val="both"/>
        <w:rPr>
          <w:rFonts w:eastAsia="Arial"/>
          <w:b/>
        </w:rPr>
      </w:pPr>
      <w:r>
        <w:rPr>
          <w:rFonts w:eastAsia="Arial"/>
        </w:rPr>
        <w:t xml:space="preserve">     K prezentaci jedné práce v dané kategorii je určen vždy jeden panel. Panel, který bude prezentovat realizovanou stavbu, musí mít rozměry 841 x 1189 mm (A0). </w:t>
      </w:r>
    </w:p>
    <w:p w14:paraId="00000017" w14:textId="77777777" w:rsidR="00125DD6" w:rsidRDefault="008C4A86" w:rsidP="00E96B83">
      <w:pPr>
        <w:jc w:val="both"/>
        <w:rPr>
          <w:rFonts w:eastAsia="Arial"/>
          <w:b/>
        </w:rPr>
      </w:pPr>
      <w:r>
        <w:rPr>
          <w:rFonts w:eastAsia="Arial"/>
        </w:rPr>
        <w:t>Výtvarné pojetí panelu není závazně stanoveno.</w:t>
      </w:r>
    </w:p>
    <w:p w14:paraId="00000018" w14:textId="77777777" w:rsidR="00125DD6" w:rsidRDefault="00125DD6" w:rsidP="00F65DC8">
      <w:pPr>
        <w:rPr>
          <w:rFonts w:eastAsia="Arial"/>
        </w:rPr>
      </w:pPr>
    </w:p>
    <w:p w14:paraId="00000019" w14:textId="77777777" w:rsidR="00125DD6" w:rsidRDefault="008C4A86" w:rsidP="00F65DC8">
      <w:pPr>
        <w:rPr>
          <w:rFonts w:eastAsia="Arial"/>
        </w:rPr>
      </w:pPr>
      <w:r>
        <w:rPr>
          <w:rFonts w:eastAsia="Arial"/>
        </w:rPr>
        <w:t>Dokumentace na panelu musí obsahovat:</w:t>
      </w:r>
    </w:p>
    <w:p w14:paraId="0000001A" w14:textId="77777777" w:rsidR="00125DD6" w:rsidRPr="00EC22AF" w:rsidRDefault="008C4A86" w:rsidP="00E96B83">
      <w:pPr>
        <w:pStyle w:val="Odstavecseseznamem"/>
        <w:numPr>
          <w:ilvl w:val="0"/>
          <w:numId w:val="19"/>
        </w:numPr>
        <w:jc w:val="both"/>
        <w:rPr>
          <w:rFonts w:eastAsia="Arial"/>
        </w:rPr>
      </w:pPr>
      <w:r w:rsidRPr="00EC22AF">
        <w:rPr>
          <w:rFonts w:eastAsia="Arial"/>
        </w:rPr>
        <w:t>fotografie realizovaného díla,</w:t>
      </w:r>
    </w:p>
    <w:p w14:paraId="0000001B" w14:textId="77777777" w:rsidR="00125DD6" w:rsidRPr="00EC22AF" w:rsidRDefault="008C4A86" w:rsidP="00E96B83">
      <w:pPr>
        <w:pStyle w:val="Odstavecseseznamem"/>
        <w:numPr>
          <w:ilvl w:val="0"/>
          <w:numId w:val="19"/>
        </w:numPr>
        <w:jc w:val="both"/>
        <w:rPr>
          <w:rFonts w:eastAsia="Arial"/>
        </w:rPr>
      </w:pPr>
      <w:r w:rsidRPr="00EC22AF">
        <w:rPr>
          <w:rFonts w:eastAsia="Arial"/>
        </w:rPr>
        <w:t>hlavní charakteristické výkresy ve zmenšeném, ale dobře čitelném (zjednodušeném) provedení včetně situace, přichází-li v úvahu, tak aby umožňovaly komplexní posouzení stavby dle dále uvedených kritérií hodnocení,</w:t>
      </w:r>
    </w:p>
    <w:p w14:paraId="0000001C" w14:textId="77777777" w:rsidR="00125DD6" w:rsidRPr="00EC22AF" w:rsidRDefault="008C4A86" w:rsidP="00E96B83">
      <w:pPr>
        <w:pStyle w:val="Odstavecseseznamem"/>
        <w:numPr>
          <w:ilvl w:val="0"/>
          <w:numId w:val="19"/>
        </w:numPr>
        <w:jc w:val="both"/>
        <w:rPr>
          <w:rFonts w:eastAsia="Arial"/>
        </w:rPr>
      </w:pPr>
      <w:r w:rsidRPr="00EC22AF">
        <w:rPr>
          <w:rFonts w:eastAsia="Arial"/>
        </w:rPr>
        <w:t>stručný komentář,</w:t>
      </w:r>
    </w:p>
    <w:p w14:paraId="0000001D" w14:textId="77777777" w:rsidR="00125DD6" w:rsidRPr="00EC22AF" w:rsidRDefault="008C4A86" w:rsidP="00E96B83">
      <w:pPr>
        <w:pStyle w:val="Odstavecseseznamem"/>
        <w:numPr>
          <w:ilvl w:val="0"/>
          <w:numId w:val="19"/>
        </w:numPr>
        <w:jc w:val="both"/>
        <w:rPr>
          <w:rFonts w:eastAsia="Arial"/>
        </w:rPr>
      </w:pPr>
      <w:r w:rsidRPr="00EC22AF">
        <w:rPr>
          <w:rFonts w:eastAsia="Arial"/>
        </w:rPr>
        <w:t>u rekonstrukcí se požaduje dokumentace původního stavu,</w:t>
      </w:r>
    </w:p>
    <w:p w14:paraId="0000001E" w14:textId="77777777" w:rsidR="00125DD6" w:rsidRPr="00EC22AF" w:rsidRDefault="008C4A86" w:rsidP="00E96B83">
      <w:pPr>
        <w:pStyle w:val="Odstavecseseznamem"/>
        <w:numPr>
          <w:ilvl w:val="0"/>
          <w:numId w:val="19"/>
        </w:numPr>
        <w:jc w:val="both"/>
        <w:rPr>
          <w:rFonts w:eastAsia="Arial"/>
        </w:rPr>
      </w:pPr>
      <w:r w:rsidRPr="00EC22AF">
        <w:rPr>
          <w:rFonts w:eastAsia="Arial"/>
        </w:rPr>
        <w:lastRenderedPageBreak/>
        <w:t>popiska o rozměru 10 x 10 cm umístěná v pravém dolním rohu panelu, na ní uvedeno: jméno autora a spoluautorů projektu, název a místo realizace, investor, hlavní dodavatel, termín kolaudace nebo uvedení do užívání.</w:t>
      </w:r>
    </w:p>
    <w:p w14:paraId="0000001F" w14:textId="77777777" w:rsidR="00125DD6" w:rsidRDefault="00125DD6" w:rsidP="00F65DC8">
      <w:pPr>
        <w:rPr>
          <w:rFonts w:eastAsia="Arial"/>
        </w:rPr>
      </w:pPr>
    </w:p>
    <w:p w14:paraId="00000020" w14:textId="77777777" w:rsidR="00125DD6" w:rsidRPr="00A0617C" w:rsidRDefault="008C4A86" w:rsidP="00F65DC8">
      <w:pPr>
        <w:rPr>
          <w:rFonts w:eastAsia="Arial"/>
          <w:b/>
          <w:bCs/>
          <w:color w:val="000000"/>
        </w:rPr>
      </w:pPr>
      <w:r w:rsidRPr="00A0617C">
        <w:rPr>
          <w:rFonts w:eastAsia="Arial"/>
          <w:b/>
          <w:bCs/>
          <w:color w:val="000000"/>
        </w:rPr>
        <w:t>Nakládání se soutěžními panely a autorská práva</w:t>
      </w:r>
    </w:p>
    <w:p w14:paraId="00000021" w14:textId="6DED1F04" w:rsidR="00125DD6" w:rsidRDefault="008C4A86" w:rsidP="00E96B83">
      <w:pPr>
        <w:jc w:val="both"/>
        <w:rPr>
          <w:rFonts w:eastAsia="Arial"/>
        </w:rPr>
      </w:pPr>
      <w:r>
        <w:rPr>
          <w:rFonts w:eastAsia="Arial"/>
        </w:rPr>
        <w:t xml:space="preserve">     Vybrané soutěžní panely budou bezplatně vytištěny a prezentovány vyhlašovatelem v rámci soutěžní přehlídky a vyhlášení výsledků a dále na stavebních výstavách v průběhu roku 2023 v rámci Olomouckého kraje. Vyhlašovatel si vyhrazuje právo s vybranými soutěžními panely přiměřeně nakládat včetně práva na publikování včetně webové prezentace, a to při současném a důsledném respektování všech autorských práv. Odevzdáním soutěžních panelů, vyplněním a podpisem přihlášky a splněním všech náležitostí požadovaných v podmínkách účasti vyjadřují autoři souhlas se všemi podmínkami soutěže i s rozhodnutími poroty. </w:t>
      </w:r>
    </w:p>
    <w:p w14:paraId="00000022" w14:textId="299808EE" w:rsidR="00125DD6" w:rsidRDefault="008C4A86" w:rsidP="00A0617C">
      <w:pPr>
        <w:pStyle w:val="Nadpis2"/>
        <w:rPr>
          <w:rFonts w:eastAsia="Arial"/>
        </w:rPr>
      </w:pPr>
      <w:r>
        <w:rPr>
          <w:rFonts w:eastAsia="Arial"/>
        </w:rPr>
        <w:t>Přílohy</w:t>
      </w:r>
    </w:p>
    <w:p w14:paraId="489B5034" w14:textId="77777777" w:rsidR="00A0617C" w:rsidRPr="00A0617C" w:rsidRDefault="00A0617C" w:rsidP="00A0617C">
      <w:pPr>
        <w:rPr>
          <w:rFonts w:eastAsia="Arial"/>
        </w:rPr>
      </w:pPr>
    </w:p>
    <w:p w14:paraId="00000023" w14:textId="77777777" w:rsidR="00125DD6" w:rsidRPr="00A0617C" w:rsidRDefault="008C4A86" w:rsidP="00E96B83">
      <w:pPr>
        <w:pStyle w:val="Odstavecseseznamem"/>
        <w:numPr>
          <w:ilvl w:val="2"/>
          <w:numId w:val="17"/>
        </w:numPr>
        <w:jc w:val="both"/>
        <w:rPr>
          <w:rFonts w:eastAsia="Arial"/>
        </w:rPr>
      </w:pPr>
      <w:r w:rsidRPr="00A0617C">
        <w:rPr>
          <w:rFonts w:eastAsia="Arial"/>
        </w:rPr>
        <w:t>Povinné přílohy:</w:t>
      </w:r>
    </w:p>
    <w:p w14:paraId="00000024" w14:textId="77777777" w:rsidR="00125DD6" w:rsidRPr="00A0617C" w:rsidRDefault="008C4A86" w:rsidP="00E96B83">
      <w:pPr>
        <w:pStyle w:val="Odstavecseseznamem"/>
        <w:numPr>
          <w:ilvl w:val="5"/>
          <w:numId w:val="18"/>
        </w:numPr>
        <w:ind w:left="709" w:hanging="283"/>
        <w:jc w:val="both"/>
        <w:rPr>
          <w:rFonts w:eastAsia="Arial"/>
        </w:rPr>
      </w:pPr>
      <w:r w:rsidRPr="00A0617C">
        <w:rPr>
          <w:rFonts w:eastAsia="Arial"/>
        </w:rPr>
        <w:t>vyplněná přihláška účastníka soutěžní přehlídky,</w:t>
      </w:r>
    </w:p>
    <w:p w14:paraId="00000025" w14:textId="77777777" w:rsidR="00125DD6" w:rsidRPr="00A0617C" w:rsidRDefault="008C4A86" w:rsidP="00E96B83">
      <w:pPr>
        <w:pStyle w:val="Odstavecseseznamem"/>
        <w:numPr>
          <w:ilvl w:val="5"/>
          <w:numId w:val="18"/>
        </w:numPr>
        <w:ind w:left="709" w:hanging="283"/>
        <w:jc w:val="both"/>
        <w:rPr>
          <w:rFonts w:eastAsia="Arial"/>
        </w:rPr>
      </w:pPr>
      <w:r w:rsidRPr="00A0617C">
        <w:rPr>
          <w:rFonts w:eastAsia="Arial"/>
        </w:rPr>
        <w:t>stručný průvodní text v rozsahu nejvýše 2 stránek A4,</w:t>
      </w:r>
    </w:p>
    <w:p w14:paraId="00000026" w14:textId="0BADD8C5" w:rsidR="00125DD6" w:rsidRPr="00A0617C" w:rsidRDefault="008C4A86" w:rsidP="00E96B83">
      <w:pPr>
        <w:pStyle w:val="Odstavecseseznamem"/>
        <w:numPr>
          <w:ilvl w:val="5"/>
          <w:numId w:val="18"/>
        </w:numPr>
        <w:ind w:left="709" w:hanging="283"/>
        <w:jc w:val="both"/>
        <w:rPr>
          <w:rFonts w:eastAsia="Arial"/>
        </w:rPr>
      </w:pPr>
      <w:r w:rsidRPr="00A0617C">
        <w:rPr>
          <w:rFonts w:eastAsia="Arial"/>
        </w:rPr>
        <w:t>jeden</w:t>
      </w:r>
      <w:r w:rsidR="00066DC1">
        <w:rPr>
          <w:rFonts w:eastAsia="Arial"/>
        </w:rPr>
        <w:t xml:space="preserve"> až </w:t>
      </w:r>
      <w:r>
        <w:rPr>
          <w:rFonts w:eastAsia="Arial"/>
        </w:rPr>
        <w:t>pět</w:t>
      </w:r>
      <w:r w:rsidRPr="00A0617C">
        <w:rPr>
          <w:rFonts w:eastAsia="Arial"/>
        </w:rPr>
        <w:t xml:space="preserve"> kvalitní</w:t>
      </w:r>
      <w:r>
        <w:rPr>
          <w:rFonts w:eastAsia="Arial"/>
        </w:rPr>
        <w:t>ch</w:t>
      </w:r>
      <w:r w:rsidRPr="00A0617C">
        <w:rPr>
          <w:rFonts w:eastAsia="Arial"/>
        </w:rPr>
        <w:t xml:space="preserve"> barevný snímk</w:t>
      </w:r>
      <w:r>
        <w:rPr>
          <w:rFonts w:eastAsia="Arial"/>
        </w:rPr>
        <w:t>ů</w:t>
      </w:r>
      <w:r w:rsidRPr="00A0617C">
        <w:rPr>
          <w:rFonts w:eastAsia="Arial"/>
        </w:rPr>
        <w:t xml:space="preserve"> díla </w:t>
      </w:r>
      <w:r w:rsidR="00066DC1">
        <w:rPr>
          <w:rFonts w:eastAsia="Arial"/>
        </w:rPr>
        <w:t>předaný</w:t>
      </w:r>
      <w:r>
        <w:rPr>
          <w:rFonts w:eastAsia="Arial"/>
        </w:rPr>
        <w:t>ch</w:t>
      </w:r>
      <w:r w:rsidR="00066DC1">
        <w:rPr>
          <w:rFonts w:eastAsia="Arial"/>
        </w:rPr>
        <w:t xml:space="preserve"> v el. </w:t>
      </w:r>
      <w:r>
        <w:rPr>
          <w:rFonts w:eastAsia="Arial"/>
        </w:rPr>
        <w:t>p</w:t>
      </w:r>
      <w:r w:rsidR="00066DC1">
        <w:rPr>
          <w:rFonts w:eastAsia="Arial"/>
        </w:rPr>
        <w:t>odobě</w:t>
      </w:r>
      <w:r>
        <w:rPr>
          <w:rFonts w:eastAsia="Arial"/>
        </w:rPr>
        <w:t>, které budou použity</w:t>
      </w:r>
      <w:r w:rsidRPr="00A0617C">
        <w:rPr>
          <w:rFonts w:eastAsia="Arial"/>
        </w:rPr>
        <w:t xml:space="preserve"> pro publikační činnost,</w:t>
      </w:r>
    </w:p>
    <w:p w14:paraId="00000027" w14:textId="2A8BFAB0" w:rsidR="00125DD6" w:rsidRPr="00A0617C" w:rsidRDefault="008C4A86" w:rsidP="00E96B83">
      <w:pPr>
        <w:pStyle w:val="Odstavecseseznamem"/>
        <w:numPr>
          <w:ilvl w:val="5"/>
          <w:numId w:val="18"/>
        </w:numPr>
        <w:ind w:left="709" w:hanging="283"/>
        <w:jc w:val="both"/>
        <w:rPr>
          <w:rFonts w:eastAsia="Arial"/>
        </w:rPr>
      </w:pPr>
      <w:r w:rsidRPr="00A0617C">
        <w:rPr>
          <w:rFonts w:eastAsia="Arial"/>
        </w:rPr>
        <w:t>doložení termínu kolaudace stavby</w:t>
      </w:r>
      <w:r>
        <w:rPr>
          <w:rFonts w:eastAsia="Arial"/>
        </w:rPr>
        <w:t>.</w:t>
      </w:r>
      <w:r w:rsidRPr="00A0617C">
        <w:rPr>
          <w:rFonts w:eastAsia="Arial"/>
        </w:rPr>
        <w:t xml:space="preserve"> </w:t>
      </w:r>
    </w:p>
    <w:p w14:paraId="00000028" w14:textId="77777777" w:rsidR="00125DD6" w:rsidRPr="00A0617C" w:rsidRDefault="008C4A86" w:rsidP="00E96B83">
      <w:pPr>
        <w:pStyle w:val="Odstavecseseznamem"/>
        <w:numPr>
          <w:ilvl w:val="2"/>
          <w:numId w:val="17"/>
        </w:numPr>
        <w:jc w:val="both"/>
        <w:rPr>
          <w:rFonts w:eastAsia="Arial"/>
        </w:rPr>
      </w:pPr>
      <w:r w:rsidRPr="00A0617C">
        <w:rPr>
          <w:rFonts w:eastAsia="Arial"/>
        </w:rPr>
        <w:t xml:space="preserve">U realizací, které (podle úvahy autora) nelze výkresovou dokumentací umístěnou na panelu dostatečně doložit, je možné připojit doplňující výkresovou přílohu o rozsahu max. 10 listů A4. Jakékoliv další přílohy (např. modely…) budou vyloučeny z posuzování. </w:t>
      </w:r>
    </w:p>
    <w:p w14:paraId="00000029" w14:textId="77777777" w:rsidR="00125DD6" w:rsidRPr="00A0617C" w:rsidRDefault="008C4A86" w:rsidP="00E96B83">
      <w:pPr>
        <w:pStyle w:val="Odstavecseseznamem"/>
        <w:numPr>
          <w:ilvl w:val="2"/>
          <w:numId w:val="17"/>
        </w:numPr>
        <w:jc w:val="both"/>
        <w:rPr>
          <w:rFonts w:eastAsia="Arial"/>
        </w:rPr>
      </w:pPr>
      <w:r w:rsidRPr="00A0617C">
        <w:rPr>
          <w:rFonts w:eastAsia="Arial"/>
        </w:rPr>
        <w:t>Přihláška účastníka, průvodní text a případná doplňující příloha v uvedeném rozsahu jsou součástí posuzované dokumentace.</w:t>
      </w:r>
    </w:p>
    <w:p w14:paraId="0000002A" w14:textId="77777777" w:rsidR="00125DD6" w:rsidRDefault="00125DD6" w:rsidP="00EC22AF">
      <w:pPr>
        <w:rPr>
          <w:rFonts w:eastAsia="Arial" w:cs="Arial"/>
        </w:rPr>
      </w:pPr>
    </w:p>
    <w:p w14:paraId="0000002B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 xml:space="preserve">Registrační poplatky </w:t>
      </w:r>
    </w:p>
    <w:p w14:paraId="0000002C" w14:textId="77777777" w:rsidR="00125DD6" w:rsidRDefault="008C4A86" w:rsidP="00F65DC8">
      <w:pPr>
        <w:rPr>
          <w:rFonts w:eastAsia="Arial"/>
        </w:rPr>
      </w:pPr>
      <w:r>
        <w:rPr>
          <w:rFonts w:eastAsia="Arial"/>
        </w:rPr>
        <w:t xml:space="preserve">     Registrační poplatek se neúčtuje.</w:t>
      </w:r>
    </w:p>
    <w:p w14:paraId="0000002D" w14:textId="77777777" w:rsidR="00125DD6" w:rsidRDefault="00125DD6">
      <w:pPr>
        <w:pStyle w:val="Nadpis1"/>
        <w:rPr>
          <w:rFonts w:eastAsia="Arial" w:cs="Arial"/>
        </w:rPr>
      </w:pPr>
    </w:p>
    <w:p w14:paraId="0000002E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t>Kritéria hodnocení</w:t>
      </w:r>
    </w:p>
    <w:p w14:paraId="0000002F" w14:textId="77777777" w:rsidR="00125DD6" w:rsidRDefault="008C4A86" w:rsidP="00F65DC8">
      <w:pPr>
        <w:rPr>
          <w:rFonts w:eastAsia="Arial"/>
        </w:rPr>
      </w:pPr>
      <w:r>
        <w:rPr>
          <w:rFonts w:eastAsia="Arial"/>
        </w:rPr>
        <w:t xml:space="preserve">     Porota bude hodnotit ve všech kategoriích zejména:</w:t>
      </w:r>
    </w:p>
    <w:p w14:paraId="00000030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Architektonické vyznění díla a jeho celkový přínos.</w:t>
      </w:r>
    </w:p>
    <w:p w14:paraId="00000031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Celkové prostorové a funkční řešení díla.</w:t>
      </w:r>
    </w:p>
    <w:p w14:paraId="00000032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Kvalitu stavebních prací.</w:t>
      </w:r>
    </w:p>
    <w:p w14:paraId="00000033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Vhodnost použití stavebních materiálů a výrobků.</w:t>
      </w:r>
    </w:p>
    <w:p w14:paraId="00000034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Délku doby realizace a dosaženou kvalitu stavby ve vztahu k celkovým nákladům.</w:t>
      </w:r>
    </w:p>
    <w:p w14:paraId="00000035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Spokojenost stavebníka a uživatele, příp. přijetí veřejnosti.</w:t>
      </w:r>
    </w:p>
    <w:p w14:paraId="00000036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 xml:space="preserve">Vstřícné řešení pro osoby s omezenou schopností pohybu a orientace. </w:t>
      </w:r>
    </w:p>
    <w:p w14:paraId="00000037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Originálnost a vhodnost konstrukčního řešení.</w:t>
      </w:r>
    </w:p>
    <w:p w14:paraId="00000038" w14:textId="77777777" w:rsidR="00125DD6" w:rsidRPr="00EC22AF" w:rsidRDefault="008C4A86" w:rsidP="00235558">
      <w:pPr>
        <w:pStyle w:val="Odstavecseseznamem"/>
        <w:numPr>
          <w:ilvl w:val="0"/>
          <w:numId w:val="10"/>
        </w:numPr>
        <w:jc w:val="both"/>
        <w:rPr>
          <w:rFonts w:eastAsia="Arial"/>
        </w:rPr>
      </w:pPr>
      <w:r w:rsidRPr="00EC22AF">
        <w:rPr>
          <w:rFonts w:eastAsia="Arial"/>
        </w:rPr>
        <w:t>Vliv stavby na životní prostředí a úspory energie.</w:t>
      </w:r>
    </w:p>
    <w:p w14:paraId="00000039" w14:textId="77777777" w:rsidR="00125DD6" w:rsidRDefault="00125DD6">
      <w:pPr>
        <w:rPr>
          <w:rFonts w:eastAsia="Arial" w:cs="Arial"/>
        </w:rPr>
      </w:pPr>
    </w:p>
    <w:p w14:paraId="0000003A" w14:textId="77777777" w:rsidR="00125DD6" w:rsidRDefault="008C4A86" w:rsidP="00F65DC8">
      <w:pPr>
        <w:pStyle w:val="Nadpis2"/>
        <w:rPr>
          <w:rFonts w:eastAsia="Arial"/>
        </w:rPr>
      </w:pPr>
      <w:r>
        <w:rPr>
          <w:rFonts w:eastAsia="Arial"/>
        </w:rPr>
        <w:lastRenderedPageBreak/>
        <w:t>Posouzení a ocenění prací</w:t>
      </w:r>
    </w:p>
    <w:p w14:paraId="0000003C" w14:textId="1B05C63A" w:rsidR="00125DD6" w:rsidRPr="00136876" w:rsidRDefault="008C4A86" w:rsidP="00235558">
      <w:pPr>
        <w:pStyle w:val="Odstavecseseznamem"/>
        <w:numPr>
          <w:ilvl w:val="0"/>
          <w:numId w:val="11"/>
        </w:numPr>
        <w:jc w:val="both"/>
        <w:rPr>
          <w:rFonts w:eastAsia="Arial" w:cs="Arial"/>
          <w:sz w:val="22"/>
          <w:szCs w:val="22"/>
        </w:rPr>
      </w:pPr>
      <w:r w:rsidRPr="00EC22AF">
        <w:rPr>
          <w:rFonts w:eastAsia="Arial" w:cs="Arial"/>
          <w:sz w:val="22"/>
          <w:szCs w:val="22"/>
        </w:rPr>
        <w:t>Průběh soutěže řídí předseda poroty soutěže, který bude zvolen porotou. Složení poroty</w:t>
      </w:r>
      <w:r w:rsidR="00EC22AF">
        <w:rPr>
          <w:rFonts w:eastAsia="Arial" w:cs="Arial"/>
          <w:sz w:val="22"/>
          <w:szCs w:val="22"/>
        </w:rPr>
        <w:t xml:space="preserve"> </w:t>
      </w:r>
      <w:r w:rsidRPr="00EC22AF">
        <w:rPr>
          <w:rFonts w:eastAsia="Arial" w:cs="Arial"/>
          <w:sz w:val="22"/>
          <w:szCs w:val="22"/>
        </w:rPr>
        <w:t>navrhuj</w:t>
      </w:r>
      <w:r w:rsidR="00EC22AF">
        <w:rPr>
          <w:rFonts w:eastAsia="Arial" w:cs="Arial"/>
          <w:sz w:val="22"/>
          <w:szCs w:val="22"/>
        </w:rPr>
        <w:t>e</w:t>
      </w:r>
      <w:r w:rsidRPr="00EC22AF">
        <w:rPr>
          <w:rFonts w:eastAsia="Arial" w:cs="Arial"/>
          <w:sz w:val="22"/>
          <w:szCs w:val="22"/>
        </w:rPr>
        <w:t xml:space="preserve"> vyhlašovatel a spolupracující instituce a je sestavena z 9 členů</w:t>
      </w:r>
      <w:r w:rsidR="001F3645">
        <w:rPr>
          <w:rFonts w:eastAsia="Arial" w:cs="Arial"/>
          <w:sz w:val="22"/>
          <w:szCs w:val="22"/>
        </w:rPr>
        <w:t xml:space="preserve"> </w:t>
      </w:r>
      <w:r w:rsidR="001F3645" w:rsidRPr="00136876">
        <w:rPr>
          <w:rFonts w:eastAsia="Arial" w:cs="Arial"/>
          <w:sz w:val="22"/>
          <w:szCs w:val="22"/>
        </w:rPr>
        <w:t>a tří náhradníků</w:t>
      </w:r>
      <w:r w:rsidRPr="00136876">
        <w:rPr>
          <w:rFonts w:eastAsia="Arial" w:cs="Arial"/>
          <w:sz w:val="22"/>
          <w:szCs w:val="22"/>
        </w:rPr>
        <w:t>.</w:t>
      </w:r>
    </w:p>
    <w:p w14:paraId="0000003E" w14:textId="081C3FB6" w:rsidR="00125DD6" w:rsidRPr="00EC22AF" w:rsidRDefault="008C4A86" w:rsidP="007C30D0">
      <w:pPr>
        <w:pStyle w:val="Odstavecseseznamem"/>
        <w:numPr>
          <w:ilvl w:val="0"/>
          <w:numId w:val="11"/>
        </w:numPr>
        <w:jc w:val="both"/>
        <w:rPr>
          <w:rFonts w:eastAsia="Arial"/>
        </w:rPr>
      </w:pPr>
      <w:r w:rsidRPr="00EC22AF">
        <w:rPr>
          <w:rFonts w:eastAsia="Arial" w:cs="Arial"/>
          <w:sz w:val="22"/>
          <w:szCs w:val="22"/>
        </w:rPr>
        <w:t xml:space="preserve">Porota </w:t>
      </w:r>
      <w:proofErr w:type="gramStart"/>
      <w:r w:rsidRPr="00EC22AF">
        <w:rPr>
          <w:rFonts w:eastAsia="Arial" w:cs="Arial"/>
          <w:sz w:val="22"/>
          <w:szCs w:val="22"/>
        </w:rPr>
        <w:t>určí</w:t>
      </w:r>
      <w:proofErr w:type="gramEnd"/>
      <w:r w:rsidRPr="00EC22AF">
        <w:rPr>
          <w:rFonts w:eastAsia="Arial" w:cs="Arial"/>
          <w:sz w:val="22"/>
          <w:szCs w:val="22"/>
        </w:rPr>
        <w:t xml:space="preserve"> v každé kategorii jednu stavbu, které udělí titul Stavba roku 2022</w:t>
      </w:r>
      <w:r w:rsidR="00235558" w:rsidRPr="00235558">
        <w:rPr>
          <w:rFonts w:eastAsia="Arial" w:cs="Arial"/>
          <w:sz w:val="22"/>
          <w:szCs w:val="22"/>
        </w:rPr>
        <w:t xml:space="preserve"> </w:t>
      </w:r>
      <w:r w:rsidRPr="00EC22AF">
        <w:rPr>
          <w:rFonts w:eastAsia="Arial"/>
        </w:rPr>
        <w:t>v Olomouckém kraji, a dále udělí dvě čestná uznání v každé kategorii. V případě nízkého počtu přihlášených firem v některé s kategorií má právo porota neudělit plný počet čestných uznání nebo titul stavba roku 2022 pro</w:t>
      </w:r>
      <w:r w:rsidR="00235558">
        <w:rPr>
          <w:rFonts w:eastAsia="Arial"/>
        </w:rPr>
        <w:t> </w:t>
      </w:r>
      <w:r w:rsidRPr="00EC22AF">
        <w:rPr>
          <w:rFonts w:eastAsia="Arial"/>
        </w:rPr>
        <w:t>danou kategorii. Naopak v případě vysokého počtu přihlášených staveb může porota udělit čestná uznání tři. Na návrh poroty může hejtman udělit zvláštní ocenění, mohou být uděleny i zvláštní ceny za architektonický, technický či společenský přínos stavby.</w:t>
      </w:r>
    </w:p>
    <w:p w14:paraId="0000003F" w14:textId="5324513E" w:rsidR="00125DD6" w:rsidRPr="00EC22AF" w:rsidRDefault="008C4A86" w:rsidP="00235558">
      <w:pPr>
        <w:pStyle w:val="Odstavecseseznamem"/>
        <w:numPr>
          <w:ilvl w:val="0"/>
          <w:numId w:val="11"/>
        </w:numPr>
        <w:jc w:val="both"/>
        <w:rPr>
          <w:rFonts w:eastAsia="Arial"/>
        </w:rPr>
      </w:pPr>
      <w:r w:rsidRPr="00EC22AF">
        <w:rPr>
          <w:rFonts w:eastAsia="Arial"/>
        </w:rPr>
        <w:t>Od r. 2022 bude udělena i Cena veřejnosti, vítěz vzejde z hlasování na webové stránce soutěže.</w:t>
      </w:r>
      <w:r w:rsidR="00A0617C">
        <w:rPr>
          <w:rFonts w:eastAsia="Arial"/>
        </w:rPr>
        <w:t xml:space="preserve"> Vítězem bude stavba s nejvyšším počtem hlasů</w:t>
      </w:r>
      <w:r w:rsidR="00066DC1">
        <w:rPr>
          <w:rFonts w:eastAsia="Arial"/>
        </w:rPr>
        <w:t>. Podrobnější zásady hlasování budou nastaveny a zveřejněny dle zvyklostí Olomouckého kraje.</w:t>
      </w:r>
    </w:p>
    <w:p w14:paraId="00000040" w14:textId="52D8B6E9" w:rsidR="00125DD6" w:rsidRPr="00EC22AF" w:rsidRDefault="008C4A86" w:rsidP="00235558">
      <w:pPr>
        <w:pStyle w:val="Odstavecseseznamem"/>
        <w:numPr>
          <w:ilvl w:val="0"/>
          <w:numId w:val="11"/>
        </w:numPr>
        <w:jc w:val="both"/>
        <w:rPr>
          <w:rFonts w:eastAsia="Arial"/>
        </w:rPr>
      </w:pPr>
      <w:r w:rsidRPr="00EC22AF">
        <w:rPr>
          <w:rFonts w:eastAsia="Arial"/>
        </w:rPr>
        <w:t>Porota se řídí Jednacím řádem poroty přijatém na ustavujícím zasedání poroty.</w:t>
      </w:r>
    </w:p>
    <w:p w14:paraId="00000041" w14:textId="77777777" w:rsidR="00125DD6" w:rsidRDefault="00125DD6">
      <w:pPr>
        <w:rPr>
          <w:rFonts w:eastAsia="Arial" w:cs="Arial"/>
        </w:rPr>
      </w:pPr>
    </w:p>
    <w:p w14:paraId="00000042" w14:textId="77777777" w:rsidR="00125DD6" w:rsidRDefault="008C4A86">
      <w:pPr>
        <w:pStyle w:val="Nadpis1"/>
        <w:rPr>
          <w:rFonts w:eastAsia="Arial" w:cs="Arial"/>
        </w:rPr>
      </w:pPr>
      <w:r>
        <w:rPr>
          <w:rFonts w:eastAsia="Arial" w:cs="Arial"/>
        </w:rPr>
        <w:t>Termíny</w:t>
      </w:r>
    </w:p>
    <w:p w14:paraId="00000043" w14:textId="77777777" w:rsidR="00125DD6" w:rsidRDefault="008C4A86" w:rsidP="00066DC1">
      <w:pPr>
        <w:rPr>
          <w:rFonts w:eastAsia="Arial"/>
        </w:rPr>
      </w:pPr>
      <w:r>
        <w:rPr>
          <w:rFonts w:eastAsia="Arial"/>
        </w:rPr>
        <w:t>1. Uzávěrka přihlášek: 31. ledna 2023 v 16.00 v sekretariátu soutěže</w:t>
      </w:r>
    </w:p>
    <w:p w14:paraId="00000044" w14:textId="7D3C55E2" w:rsidR="00125DD6" w:rsidRDefault="008C4A86" w:rsidP="00066DC1">
      <w:pPr>
        <w:rPr>
          <w:rFonts w:eastAsia="Arial"/>
        </w:rPr>
      </w:pPr>
      <w:r>
        <w:rPr>
          <w:rFonts w:eastAsia="Arial"/>
        </w:rPr>
        <w:t>2. Uzávěrka příjmu dokumentace: 15. února 2023 v 16</w:t>
      </w:r>
      <w:r w:rsidR="00235558">
        <w:rPr>
          <w:rFonts w:eastAsia="Arial"/>
        </w:rPr>
        <w:t>:</w:t>
      </w:r>
      <w:r>
        <w:rPr>
          <w:rFonts w:eastAsia="Arial"/>
        </w:rPr>
        <w:t>00 v sekretariátu soutěže</w:t>
      </w:r>
    </w:p>
    <w:p w14:paraId="00000045" w14:textId="77777777" w:rsidR="00125DD6" w:rsidRDefault="008C4A86" w:rsidP="00066DC1">
      <w:pPr>
        <w:rPr>
          <w:rFonts w:eastAsia="Arial"/>
        </w:rPr>
      </w:pPr>
      <w:r>
        <w:rPr>
          <w:rFonts w:eastAsia="Arial"/>
        </w:rPr>
        <w:t xml:space="preserve">3. Zasedání hodnotící poroty: </w:t>
      </w:r>
      <w:proofErr w:type="gramStart"/>
      <w:r>
        <w:rPr>
          <w:rFonts w:eastAsia="Arial"/>
        </w:rPr>
        <w:t>únor - březen</w:t>
      </w:r>
      <w:proofErr w:type="gramEnd"/>
      <w:r>
        <w:rPr>
          <w:rFonts w:eastAsia="Arial"/>
        </w:rPr>
        <w:t xml:space="preserve"> 2023</w:t>
      </w:r>
    </w:p>
    <w:p w14:paraId="00000046" w14:textId="77777777" w:rsidR="00125DD6" w:rsidRDefault="008C4A86" w:rsidP="00066DC1">
      <w:pPr>
        <w:rPr>
          <w:rFonts w:eastAsia="Arial"/>
        </w:rPr>
      </w:pPr>
      <w:r>
        <w:rPr>
          <w:rFonts w:eastAsia="Arial"/>
        </w:rPr>
        <w:t>4. Vyhlášení výsledků: duben 2023</w:t>
      </w:r>
    </w:p>
    <w:p w14:paraId="00000047" w14:textId="77777777" w:rsidR="00125DD6" w:rsidRDefault="008C4A86" w:rsidP="00066DC1">
      <w:pPr>
        <w:rPr>
          <w:rFonts w:eastAsia="Arial"/>
        </w:rPr>
      </w:pPr>
      <w:r>
        <w:rPr>
          <w:rFonts w:eastAsia="Arial"/>
        </w:rPr>
        <w:t xml:space="preserve">5. Vystavení přihlášených prací na veletrhu </w:t>
      </w:r>
      <w:proofErr w:type="spellStart"/>
      <w:r>
        <w:rPr>
          <w:rFonts w:eastAsia="Arial"/>
        </w:rPr>
        <w:t>Stavotech</w:t>
      </w:r>
      <w:proofErr w:type="spellEnd"/>
      <w:r>
        <w:rPr>
          <w:rFonts w:eastAsia="Arial"/>
        </w:rPr>
        <w:t xml:space="preserve"> v Olomouci</w:t>
      </w:r>
    </w:p>
    <w:p w14:paraId="00000048" w14:textId="77777777" w:rsidR="00125DD6" w:rsidRDefault="00125DD6">
      <w:pPr>
        <w:pStyle w:val="Nadpis1"/>
        <w:rPr>
          <w:rFonts w:eastAsia="Arial" w:cs="Arial"/>
        </w:rPr>
      </w:pPr>
    </w:p>
    <w:p w14:paraId="00000049" w14:textId="77777777" w:rsidR="00125DD6" w:rsidRDefault="008C4A86">
      <w:pPr>
        <w:pStyle w:val="Nadpis1"/>
        <w:rPr>
          <w:rFonts w:eastAsia="Arial" w:cs="Arial"/>
        </w:rPr>
      </w:pPr>
      <w:r>
        <w:rPr>
          <w:rFonts w:eastAsia="Arial" w:cs="Arial"/>
        </w:rPr>
        <w:t>Sekretariát soutěže</w:t>
      </w:r>
    </w:p>
    <w:p w14:paraId="0000004A" w14:textId="333D435A" w:rsidR="00125DD6" w:rsidRDefault="008C4A86" w:rsidP="00235558">
      <w:pPr>
        <w:jc w:val="both"/>
        <w:rPr>
          <w:rFonts w:eastAsia="Arial"/>
        </w:rPr>
      </w:pPr>
      <w:r>
        <w:rPr>
          <w:rFonts w:eastAsia="Arial"/>
        </w:rPr>
        <w:t xml:space="preserve">Sekretariát soutěže zajišťuje společnost </w:t>
      </w:r>
      <w:proofErr w:type="spellStart"/>
      <w:r>
        <w:rPr>
          <w:rFonts w:eastAsia="Arial"/>
        </w:rPr>
        <w:t>Omnis</w:t>
      </w:r>
      <w:proofErr w:type="spellEnd"/>
      <w:r>
        <w:rPr>
          <w:rFonts w:eastAsia="Arial"/>
        </w:rPr>
        <w:t xml:space="preserve"> Olomouc, a.s. na adrese tř.</w:t>
      </w:r>
      <w:r w:rsidR="00235558">
        <w:rPr>
          <w:rFonts w:eastAsia="Arial"/>
        </w:rPr>
        <w:t> </w:t>
      </w:r>
      <w:r>
        <w:rPr>
          <w:rFonts w:eastAsia="Arial"/>
        </w:rPr>
        <w:t>Kosmonautů 989/8, kancelář č. 211, Olomouc (AB Centrum)</w:t>
      </w:r>
    </w:p>
    <w:p w14:paraId="0000004B" w14:textId="77777777" w:rsidR="00125DD6" w:rsidRDefault="008C4A86" w:rsidP="00EC22AF">
      <w:r>
        <w:rPr>
          <w:rFonts w:eastAsia="Arial"/>
        </w:rPr>
        <w:t xml:space="preserve">Kontaktní osoba Mgr. Petr Nasadil, tel.: 608 711 422, e-mail: </w:t>
      </w:r>
      <w:hyperlink r:id="rId9">
        <w:r>
          <w:rPr>
            <w:rFonts w:eastAsia="Arial"/>
            <w:color w:val="0000FF"/>
            <w:u w:val="single"/>
          </w:rPr>
          <w:t>nasadil@omnis.cz</w:t>
        </w:r>
      </w:hyperlink>
      <w:r>
        <w:rPr>
          <w:rFonts w:eastAsia="Arial"/>
        </w:rPr>
        <w:t>.</w:t>
      </w:r>
    </w:p>
    <w:sectPr w:rsidR="00125D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8A3"/>
    <w:multiLevelType w:val="multilevel"/>
    <w:tmpl w:val="2BDCF6B4"/>
    <w:numStyleLink w:val="Styl1"/>
  </w:abstractNum>
  <w:abstractNum w:abstractNumId="1" w15:restartNumberingAfterBreak="0">
    <w:nsid w:val="17414C03"/>
    <w:multiLevelType w:val="hybridMultilevel"/>
    <w:tmpl w:val="C220D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490F"/>
    <w:multiLevelType w:val="multilevel"/>
    <w:tmpl w:val="F81276C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066796"/>
    <w:multiLevelType w:val="multilevel"/>
    <w:tmpl w:val="86F033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1D4A49"/>
    <w:multiLevelType w:val="multilevel"/>
    <w:tmpl w:val="56C2AE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lowerLetter"/>
      <w:lvlText w:val="%6."/>
      <w:lvlJc w:val="left"/>
      <w:pPr>
        <w:ind w:left="360" w:hanging="36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6E97236"/>
    <w:multiLevelType w:val="hybridMultilevel"/>
    <w:tmpl w:val="09F4275C"/>
    <w:lvl w:ilvl="0" w:tplc="5846E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8F5"/>
    <w:multiLevelType w:val="hybridMultilevel"/>
    <w:tmpl w:val="BD18E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AE3"/>
    <w:multiLevelType w:val="multilevel"/>
    <w:tmpl w:val="DF0A0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7F801C0"/>
    <w:multiLevelType w:val="multilevel"/>
    <w:tmpl w:val="5A8054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68C69CE"/>
    <w:multiLevelType w:val="hybridMultilevel"/>
    <w:tmpl w:val="9164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005"/>
    <w:multiLevelType w:val="multilevel"/>
    <w:tmpl w:val="86F033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82A38D1"/>
    <w:multiLevelType w:val="hybridMultilevel"/>
    <w:tmpl w:val="DE42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09C1"/>
    <w:multiLevelType w:val="hybridMultilevel"/>
    <w:tmpl w:val="E8B28AC6"/>
    <w:lvl w:ilvl="0" w:tplc="5846E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5577"/>
    <w:multiLevelType w:val="hybridMultilevel"/>
    <w:tmpl w:val="9FD2B606"/>
    <w:lvl w:ilvl="0" w:tplc="5846E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70B6"/>
    <w:multiLevelType w:val="hybridMultilevel"/>
    <w:tmpl w:val="6FF81862"/>
    <w:lvl w:ilvl="0" w:tplc="5846E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52863"/>
    <w:multiLevelType w:val="multilevel"/>
    <w:tmpl w:val="9C70E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0734D6E"/>
    <w:multiLevelType w:val="multilevel"/>
    <w:tmpl w:val="61649FA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5297626"/>
    <w:multiLevelType w:val="multilevel"/>
    <w:tmpl w:val="2BDCF6B4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6613AD"/>
    <w:multiLevelType w:val="multilevel"/>
    <w:tmpl w:val="2F067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42312508">
    <w:abstractNumId w:val="18"/>
  </w:num>
  <w:num w:numId="2" w16cid:durableId="2105607855">
    <w:abstractNumId w:val="2"/>
  </w:num>
  <w:num w:numId="3" w16cid:durableId="195001711">
    <w:abstractNumId w:val="7"/>
  </w:num>
  <w:num w:numId="4" w16cid:durableId="1046638914">
    <w:abstractNumId w:val="3"/>
  </w:num>
  <w:num w:numId="5" w16cid:durableId="1306936631">
    <w:abstractNumId w:val="16"/>
  </w:num>
  <w:num w:numId="6" w16cid:durableId="312217514">
    <w:abstractNumId w:val="1"/>
  </w:num>
  <w:num w:numId="7" w16cid:durableId="247228951">
    <w:abstractNumId w:val="9"/>
  </w:num>
  <w:num w:numId="8" w16cid:durableId="1127311577">
    <w:abstractNumId w:val="13"/>
  </w:num>
  <w:num w:numId="9" w16cid:durableId="1508400022">
    <w:abstractNumId w:val="11"/>
  </w:num>
  <w:num w:numId="10" w16cid:durableId="1334652182">
    <w:abstractNumId w:val="14"/>
  </w:num>
  <w:num w:numId="11" w16cid:durableId="434712476">
    <w:abstractNumId w:val="5"/>
  </w:num>
  <w:num w:numId="12" w16cid:durableId="1360886491">
    <w:abstractNumId w:val="12"/>
  </w:num>
  <w:num w:numId="13" w16cid:durableId="192888753">
    <w:abstractNumId w:val="10"/>
  </w:num>
  <w:num w:numId="14" w16cid:durableId="372853920">
    <w:abstractNumId w:val="15"/>
  </w:num>
  <w:num w:numId="15" w16cid:durableId="1762722121">
    <w:abstractNumId w:val="17"/>
  </w:num>
  <w:num w:numId="16" w16cid:durableId="1140422550">
    <w:abstractNumId w:val="0"/>
  </w:num>
  <w:num w:numId="17" w16cid:durableId="1252084868">
    <w:abstractNumId w:val="8"/>
  </w:num>
  <w:num w:numId="18" w16cid:durableId="230242058">
    <w:abstractNumId w:val="4"/>
  </w:num>
  <w:num w:numId="19" w16cid:durableId="146122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D6"/>
    <w:rsid w:val="00066DC1"/>
    <w:rsid w:val="00125DD6"/>
    <w:rsid w:val="00136876"/>
    <w:rsid w:val="001F3645"/>
    <w:rsid w:val="00235558"/>
    <w:rsid w:val="00527970"/>
    <w:rsid w:val="008C4A86"/>
    <w:rsid w:val="00A0617C"/>
    <w:rsid w:val="00B56EBE"/>
    <w:rsid w:val="00B651B0"/>
    <w:rsid w:val="00D27F74"/>
    <w:rsid w:val="00E96B83"/>
    <w:rsid w:val="00EC22AF"/>
    <w:rsid w:val="00F03A98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AF26"/>
  <w15:docId w15:val="{EE3F8BA7-BC66-4213-9B03-AE42AEF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DC8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65DC8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uiPriority w:val="9"/>
    <w:unhideWhenUsed/>
    <w:qFormat/>
    <w:rsid w:val="00F65DC8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1FF0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5E1FF0"/>
    <w:pPr>
      <w:jc w:val="center"/>
    </w:pPr>
    <w:rPr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65DC8"/>
    <w:rPr>
      <w:rFonts w:ascii="Arial" w:hAnsi="Arial"/>
      <w:b/>
      <w:sz w:val="32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E1F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E1FF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E1FF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E1FF0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1F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E1FF0"/>
    <w:pPr>
      <w:ind w:left="426" w:hanging="6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1F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E1FF0"/>
    <w:pPr>
      <w:ind w:left="426" w:hanging="426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1F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5E1FF0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5E1FF0"/>
    <w:rPr>
      <w:rFonts w:cs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1FF0"/>
    <w:rPr>
      <w:rFonts w:ascii="Arial" w:eastAsia="Times New Roman" w:hAnsi="Arial" w:cs="Arial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1FF0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F65DC8"/>
    <w:pPr>
      <w:ind w:left="720"/>
      <w:contextualSpacing/>
    </w:pPr>
  </w:style>
  <w:style w:type="numbering" w:customStyle="1" w:styleId="Styl1">
    <w:name w:val="Styl1"/>
    <w:uiPriority w:val="99"/>
    <w:rsid w:val="00A061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asadil@omn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8d847-09cf-4c91-a7b3-584328f92f2f">
      <Terms xmlns="http://schemas.microsoft.com/office/infopath/2007/PartnerControls"/>
    </lcf76f155ced4ddcb4097134ff3c332f>
    <TaxCatchAll xmlns="7db66521-db5b-45e1-b388-aa93a723860d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xeHUXq/MKyisaQl2hbBfchCBw==">AMUW2mVTMKPT/+3tmN8gxQs2RsS0r43sG/G+H3eEsbA0/CyB9OBtMJ0gE9YpHFnuXqSH/O4ERKY/xq8OPQU5XzCqrNnmuLOrg+zu2gs8GDUeY3TsCgwopy8=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96A551F9FF04BA858DB9058BA0EE1" ma:contentTypeVersion="15" ma:contentTypeDescription="Vytvoří nový dokument" ma:contentTypeScope="" ma:versionID="38ddbb7a3865ed9f336d436c04402cd1">
  <xsd:schema xmlns:xsd="http://www.w3.org/2001/XMLSchema" xmlns:xs="http://www.w3.org/2001/XMLSchema" xmlns:p="http://schemas.microsoft.com/office/2006/metadata/properties" xmlns:ns2="7db66521-db5b-45e1-b388-aa93a723860d" xmlns:ns3="7d38d847-09cf-4c91-a7b3-584328f92f2f" targetNamespace="http://schemas.microsoft.com/office/2006/metadata/properties" ma:root="true" ma:fieldsID="ea855b122b33dfa3fa19cc0a9ac22fe8" ns2:_="" ns3:_="">
    <xsd:import namespace="7db66521-db5b-45e1-b388-aa93a723860d"/>
    <xsd:import namespace="7d38d847-09cf-4c91-a7b3-584328f92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TaxCatchAll" ma:index="21" nillable="true" ma:displayName="Taxonomy Catch All Column" ma:hidden="true" ma:list="{b884e15b-3886-43f3-b506-9ae4543ebf7a}" ma:internalName="TaxCatchAll" ma:showField="CatchAllData" ma:web="7db66521-db5b-45e1-b388-aa93a7238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d847-09cf-4c91-a7b3-584328f9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d0723a1-28b4-498d-927a-b29b23b82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BDECA-F916-489D-ADEB-46AD4E077EF9}">
  <ds:schemaRefs>
    <ds:schemaRef ds:uri="http://schemas.microsoft.com/office/2006/metadata/properties"/>
    <ds:schemaRef ds:uri="http://schemas.microsoft.com/office/infopath/2007/PartnerControls"/>
    <ds:schemaRef ds:uri="7d38d847-09cf-4c91-a7b3-584328f92f2f"/>
    <ds:schemaRef ds:uri="7db66521-db5b-45e1-b388-aa93a723860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78AAFC-BD9F-4F8D-A6A5-65D3302E7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24511-6F45-4938-8676-921F079F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7d38d847-09cf-4c91-a7b3-584328f9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Nasadil</dc:creator>
  <cp:lastModifiedBy>Petr Nasadil</cp:lastModifiedBy>
  <cp:revision>4</cp:revision>
  <dcterms:created xsi:type="dcterms:W3CDTF">2022-08-01T10:26:00Z</dcterms:created>
  <dcterms:modified xsi:type="dcterms:W3CDTF">2023-02-22T11:40:00Z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0x010100F0E96A551F9FF04BA858DB9058BA0EE1</vt:lpwstr>
  </property>
  <property fmtid="{D5CDD505-2E9C-101B-9397-08002B2CF9AE}" pid="3" name="MediaServiceImageTags">
    <vt:lpwstr/>
  </property>
</Properties>
</file>